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D3" w:rsidRPr="008455D3" w:rsidRDefault="008455D3" w:rsidP="008455D3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>Комитет по образованию г</w:t>
      </w:r>
      <w:proofErr w:type="gramStart"/>
      <w:r w:rsidRPr="008455D3">
        <w:rPr>
          <w:rFonts w:ascii="Times New Roman" w:eastAsia="Calibri" w:hAnsi="Times New Roman" w:cs="Times New Roman"/>
          <w:sz w:val="28"/>
          <w:lang w:eastAsia="en-US"/>
        </w:rPr>
        <w:t>.У</w:t>
      </w:r>
      <w:proofErr w:type="gramEnd"/>
      <w:r w:rsidRPr="008455D3">
        <w:rPr>
          <w:rFonts w:ascii="Times New Roman" w:eastAsia="Calibri" w:hAnsi="Times New Roman" w:cs="Times New Roman"/>
          <w:sz w:val="28"/>
          <w:lang w:eastAsia="en-US"/>
        </w:rPr>
        <w:t>лан-Удэ</w:t>
      </w:r>
    </w:p>
    <w:p w:rsidR="008455D3" w:rsidRPr="008455D3" w:rsidRDefault="008455D3" w:rsidP="008455D3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автономное дошкольное образовательное учреждение </w:t>
      </w:r>
    </w:p>
    <w:p w:rsidR="008455D3" w:rsidRPr="008455D3" w:rsidRDefault="008455D3" w:rsidP="008455D3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>Детский сад №59 «Золотой ключик»</w:t>
      </w: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E961EA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b/>
          <w:sz w:val="44"/>
          <w:lang w:eastAsia="en-US"/>
        </w:rPr>
      </w:pPr>
      <w:r w:rsidRPr="008455D3">
        <w:rPr>
          <w:rFonts w:ascii="Times New Roman" w:eastAsia="Calibri" w:hAnsi="Times New Roman" w:cs="Times New Roman"/>
          <w:b/>
          <w:sz w:val="44"/>
          <w:lang w:eastAsia="en-US"/>
        </w:rPr>
        <w:t>Диагностика педагогического процесса</w:t>
      </w: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  <w:r w:rsidRPr="008455D3">
        <w:rPr>
          <w:rFonts w:ascii="Times New Roman" w:eastAsia="Calibri" w:hAnsi="Times New Roman" w:cs="Times New Roman"/>
          <w:sz w:val="36"/>
          <w:lang w:eastAsia="en-US"/>
        </w:rPr>
        <w:t>Старшая логопедическая группа № 12 «Багульник»</w:t>
      </w: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</w:p>
    <w:p w:rsidR="008455D3" w:rsidRPr="008455D3" w:rsidRDefault="008455D3" w:rsidP="008455D3">
      <w:pPr>
        <w:spacing w:after="0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8455D3" w:rsidRPr="008455D3" w:rsidRDefault="008455D3" w:rsidP="008455D3">
      <w:pPr>
        <w:spacing w:after="0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8455D3" w:rsidRPr="008455D3" w:rsidRDefault="008455D3" w:rsidP="008455D3">
      <w:pPr>
        <w:spacing w:after="0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8455D3" w:rsidRPr="008455D3" w:rsidRDefault="008455D3" w:rsidP="008455D3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  <w:r w:rsidRPr="008455D3">
        <w:rPr>
          <w:rFonts w:ascii="Times New Roman" w:eastAsia="Calibri" w:hAnsi="Times New Roman" w:cs="Times New Roman"/>
          <w:sz w:val="32"/>
          <w:lang w:eastAsia="en-US"/>
        </w:rPr>
        <w:t>Воспитател</w:t>
      </w:r>
      <w:r w:rsidR="00E7489D">
        <w:rPr>
          <w:rFonts w:ascii="Times New Roman" w:eastAsia="Calibri" w:hAnsi="Times New Roman" w:cs="Times New Roman"/>
          <w:sz w:val="32"/>
          <w:lang w:eastAsia="en-US"/>
        </w:rPr>
        <w:t>ь</w:t>
      </w:r>
      <w:r w:rsidRPr="008455D3">
        <w:rPr>
          <w:rFonts w:ascii="Times New Roman" w:eastAsia="Calibri" w:hAnsi="Times New Roman" w:cs="Times New Roman"/>
          <w:sz w:val="32"/>
          <w:lang w:eastAsia="en-US"/>
        </w:rPr>
        <w:t>:</w:t>
      </w:r>
      <w:r w:rsidRPr="008455D3">
        <w:rPr>
          <w:rFonts w:ascii="Times New Roman" w:eastAsia="Calibri" w:hAnsi="Times New Roman" w:cs="Times New Roman"/>
          <w:sz w:val="32"/>
          <w:lang w:eastAsia="en-US"/>
        </w:rPr>
        <w:tab/>
      </w:r>
      <w:r w:rsidRPr="008455D3">
        <w:rPr>
          <w:rFonts w:ascii="Times New Roman" w:eastAsia="Calibri" w:hAnsi="Times New Roman" w:cs="Times New Roman"/>
          <w:sz w:val="32"/>
          <w:lang w:eastAsia="en-US"/>
        </w:rPr>
        <w:tab/>
      </w:r>
    </w:p>
    <w:p w:rsidR="008455D3" w:rsidRPr="008455D3" w:rsidRDefault="008455D3" w:rsidP="008455D3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  <w:proofErr w:type="spellStart"/>
      <w:r w:rsidRPr="008455D3">
        <w:rPr>
          <w:rFonts w:ascii="Times New Roman" w:eastAsia="Calibri" w:hAnsi="Times New Roman" w:cs="Times New Roman"/>
          <w:sz w:val="32"/>
          <w:lang w:eastAsia="en-US"/>
        </w:rPr>
        <w:t>Шушурихина</w:t>
      </w:r>
      <w:proofErr w:type="spellEnd"/>
      <w:r w:rsidRPr="008455D3">
        <w:rPr>
          <w:rFonts w:ascii="Times New Roman" w:eastAsia="Calibri" w:hAnsi="Times New Roman" w:cs="Times New Roman"/>
          <w:sz w:val="32"/>
          <w:lang w:eastAsia="en-US"/>
        </w:rPr>
        <w:t xml:space="preserve"> О.С.</w:t>
      </w:r>
      <w:r w:rsidRPr="008455D3">
        <w:rPr>
          <w:rFonts w:ascii="Times New Roman" w:eastAsia="Calibri" w:hAnsi="Times New Roman" w:cs="Times New Roman"/>
          <w:sz w:val="32"/>
          <w:lang w:eastAsia="en-US"/>
        </w:rPr>
        <w:tab/>
      </w:r>
    </w:p>
    <w:p w:rsidR="008455D3" w:rsidRDefault="008455D3" w:rsidP="008455D3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</w:p>
    <w:p w:rsidR="00B32823" w:rsidRPr="008455D3" w:rsidRDefault="00B32823" w:rsidP="008455D3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</w:p>
    <w:p w:rsidR="008455D3" w:rsidRPr="008455D3" w:rsidRDefault="008455D3" w:rsidP="008455D3">
      <w:pPr>
        <w:jc w:val="right"/>
        <w:rPr>
          <w:rFonts w:ascii="Times New Roman" w:eastAsia="Calibri" w:hAnsi="Times New Roman" w:cs="Times New Roman"/>
          <w:sz w:val="36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455D3" w:rsidRPr="008455D3" w:rsidRDefault="008455D3" w:rsidP="008455D3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 xml:space="preserve">2020 - 2021 </w:t>
      </w:r>
      <w:proofErr w:type="spellStart"/>
      <w:r w:rsidRPr="008455D3">
        <w:rPr>
          <w:rFonts w:ascii="Times New Roman" w:eastAsia="Calibri" w:hAnsi="Times New Roman" w:cs="Times New Roman"/>
          <w:sz w:val="28"/>
          <w:lang w:eastAsia="en-US"/>
        </w:rPr>
        <w:t>уч</w:t>
      </w:r>
      <w:proofErr w:type="gramStart"/>
      <w:r w:rsidRPr="008455D3">
        <w:rPr>
          <w:rFonts w:ascii="Times New Roman" w:eastAsia="Calibri" w:hAnsi="Times New Roman" w:cs="Times New Roman"/>
          <w:sz w:val="28"/>
          <w:lang w:eastAsia="en-US"/>
        </w:rPr>
        <w:t>.г</w:t>
      </w:r>
      <w:proofErr w:type="gramEnd"/>
      <w:r w:rsidRPr="008455D3">
        <w:rPr>
          <w:rFonts w:ascii="Times New Roman" w:eastAsia="Calibri" w:hAnsi="Times New Roman" w:cs="Times New Roman"/>
          <w:sz w:val="28"/>
          <w:lang w:eastAsia="en-US"/>
        </w:rPr>
        <w:t>од</w:t>
      </w:r>
      <w:proofErr w:type="spellEnd"/>
    </w:p>
    <w:p w:rsidR="00E7489D" w:rsidRDefault="00E7489D" w:rsidP="00E7489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 w:rsidRPr="007B6FB4">
        <w:rPr>
          <w:rFonts w:ascii="Times New Roman" w:eastAsia="Calibri" w:hAnsi="Times New Roman" w:cs="Times New Roman"/>
          <w:sz w:val="32"/>
          <w:lang w:eastAsia="en-US"/>
        </w:rPr>
        <w:lastRenderedPageBreak/>
        <w:t xml:space="preserve">Анализ результатов педагогической диагностики в </w:t>
      </w:r>
      <w:r>
        <w:rPr>
          <w:rFonts w:ascii="Times New Roman" w:eastAsia="Calibri" w:hAnsi="Times New Roman" w:cs="Times New Roman"/>
          <w:sz w:val="32"/>
          <w:lang w:eastAsia="en-US"/>
        </w:rPr>
        <w:t>старшей логопедической</w:t>
      </w:r>
      <w:r w:rsidRPr="007B6FB4">
        <w:rPr>
          <w:rFonts w:ascii="Times New Roman" w:eastAsia="Calibri" w:hAnsi="Times New Roman" w:cs="Times New Roman"/>
          <w:sz w:val="32"/>
          <w:lang w:eastAsia="en-US"/>
        </w:rPr>
        <w:t>группена 20</w:t>
      </w:r>
      <w:r>
        <w:rPr>
          <w:rFonts w:ascii="Times New Roman" w:eastAsia="Calibri" w:hAnsi="Times New Roman" w:cs="Times New Roman"/>
          <w:sz w:val="32"/>
          <w:lang w:eastAsia="en-US"/>
        </w:rPr>
        <w:t>20</w:t>
      </w:r>
      <w:r w:rsidRPr="007B6FB4">
        <w:rPr>
          <w:rFonts w:ascii="Times New Roman" w:eastAsia="Calibri" w:hAnsi="Times New Roman" w:cs="Times New Roman"/>
          <w:sz w:val="32"/>
          <w:lang w:eastAsia="en-US"/>
        </w:rPr>
        <w:t>-202</w:t>
      </w:r>
      <w:r>
        <w:rPr>
          <w:rFonts w:ascii="Times New Roman" w:eastAsia="Calibri" w:hAnsi="Times New Roman" w:cs="Times New Roman"/>
          <w:sz w:val="32"/>
          <w:lang w:eastAsia="en-US"/>
        </w:rPr>
        <w:t>1</w:t>
      </w:r>
      <w:r w:rsidRPr="007B6FB4">
        <w:rPr>
          <w:rFonts w:ascii="Times New Roman" w:eastAsia="Calibri" w:hAnsi="Times New Roman" w:cs="Times New Roman"/>
          <w:sz w:val="32"/>
          <w:lang w:eastAsia="en-US"/>
        </w:rPr>
        <w:t xml:space="preserve"> учебный год.</w:t>
      </w:r>
    </w:p>
    <w:p w:rsidR="00E7489D" w:rsidRPr="007B6FB4" w:rsidRDefault="00E7489D" w:rsidP="00E7489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E7489D" w:rsidRPr="00071026" w:rsidRDefault="00E7489D" w:rsidP="00E7489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Воспитательно-образовательный проце</w:t>
      </w:r>
      <w:proofErr w:type="gramStart"/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сс в </w:t>
      </w:r>
      <w:r w:rsidRPr="00E7489D">
        <w:rPr>
          <w:rFonts w:ascii="Times New Roman" w:eastAsia="Calibri" w:hAnsi="Times New Roman" w:cs="Times New Roman"/>
          <w:sz w:val="28"/>
          <w:lang w:eastAsia="en-US"/>
        </w:rPr>
        <w:t>ст</w:t>
      </w:r>
      <w:proofErr w:type="gramEnd"/>
      <w:r w:rsidRPr="00E7489D">
        <w:rPr>
          <w:rFonts w:ascii="Times New Roman" w:eastAsia="Calibri" w:hAnsi="Times New Roman" w:cs="Times New Roman"/>
          <w:sz w:val="28"/>
          <w:lang w:eastAsia="en-US"/>
        </w:rPr>
        <w:t>аршей логопедической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группе выстроен на основе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комплексной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образовательной программы дошкольного образования «Детство».</w:t>
      </w:r>
    </w:p>
    <w:p w:rsidR="00E7489D" w:rsidRDefault="00E7489D" w:rsidP="00E7489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Характеристика группы:</w:t>
      </w:r>
    </w:p>
    <w:p w:rsidR="00E7489D" w:rsidRDefault="00E7489D" w:rsidP="00E7489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В сентябре 2020 г. сформирована старшая логопедическая группа. Группу посещает 28 детей в возрасте 5-6 лет, из них</w:t>
      </w:r>
      <w:r w:rsidR="0056766D" w:rsidRPr="0056766D">
        <w:rPr>
          <w:rFonts w:ascii="Times New Roman" w:eastAsia="Calibri" w:hAnsi="Times New Roman" w:cs="Times New Roman"/>
          <w:bCs/>
          <w:sz w:val="28"/>
          <w:lang w:eastAsia="en-US"/>
        </w:rPr>
        <w:t>21 мальчик и 7 девочек</w:t>
      </w:r>
      <w:r w:rsidR="0056766D">
        <w:rPr>
          <w:rFonts w:ascii="Times New Roman" w:eastAsia="Calibri" w:hAnsi="Times New Roman" w:cs="Times New Roman"/>
          <w:bCs/>
          <w:sz w:val="28"/>
          <w:lang w:eastAsia="en-US"/>
        </w:rPr>
        <w:t>.</w:t>
      </w:r>
    </w:p>
    <w:p w:rsidR="0056766D" w:rsidRPr="00C04353" w:rsidRDefault="0056766D" w:rsidP="0056766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Цель мониторинга</w:t>
      </w:r>
      <w:r w:rsidRPr="00C04353">
        <w:rPr>
          <w:rFonts w:ascii="Times New Roman" w:eastAsia="Calibri" w:hAnsi="Times New Roman" w:cs="Times New Roman"/>
          <w:b/>
          <w:sz w:val="28"/>
          <w:lang w:eastAsia="en-US"/>
        </w:rPr>
        <w:t xml:space="preserve">: </w:t>
      </w:r>
    </w:p>
    <w:p w:rsidR="0056766D" w:rsidRDefault="0056766D" w:rsidP="0056766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О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пределение уровня усвоения детьми старшей групп</w:t>
      </w:r>
      <w:r>
        <w:rPr>
          <w:rFonts w:ascii="Times New Roman" w:eastAsia="Calibri" w:hAnsi="Times New Roman" w:cs="Times New Roman"/>
          <w:sz w:val="28"/>
          <w:lang w:eastAsia="en-US"/>
        </w:rPr>
        <w:t>ы образовательной программы ДОУ. Оптимизация образовательного процесса в группе.</w:t>
      </w:r>
    </w:p>
    <w:p w:rsidR="0056766D" w:rsidRPr="00C04353" w:rsidRDefault="0056766D" w:rsidP="0056766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Задачи мониторинга</w:t>
      </w:r>
      <w:r w:rsidRPr="00C04353">
        <w:rPr>
          <w:rFonts w:ascii="Times New Roman" w:eastAsia="Calibri" w:hAnsi="Times New Roman" w:cs="Times New Roman"/>
          <w:b/>
          <w:sz w:val="28"/>
          <w:lang w:eastAsia="en-US"/>
        </w:rPr>
        <w:t>:</w:t>
      </w:r>
    </w:p>
    <w:p w:rsidR="0056766D" w:rsidRPr="00071026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- определить уровень усвоения детьми программного материала по образовательным областям;</w:t>
      </w:r>
    </w:p>
    <w:p w:rsidR="0056766D" w:rsidRPr="00071026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- определить уровень усвоения программного материала по группе в целом (по сравнению с прошлым годом/началом года);</w:t>
      </w:r>
    </w:p>
    <w:p w:rsidR="0056766D" w:rsidRPr="00071026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- оптимизировать работу с детьми, наметить направление работы по итогам мониторинга по группе в целом;</w:t>
      </w:r>
    </w:p>
    <w:p w:rsidR="0056766D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 - построить образовательную траекторию развития каждого ребенка;</w:t>
      </w:r>
    </w:p>
    <w:p w:rsidR="0056766D" w:rsidRPr="00071026" w:rsidRDefault="0056766D" w:rsidP="0056766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b/>
          <w:bCs/>
          <w:sz w:val="28"/>
          <w:lang w:eastAsia="en-US"/>
        </w:rPr>
        <w:t>Методы диагностики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56766D" w:rsidRPr="00071026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i/>
          <w:sz w:val="28"/>
          <w:lang w:eastAsia="en-US"/>
        </w:rPr>
        <w:t>Основные диагностические методы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56766D" w:rsidRPr="00071026" w:rsidRDefault="0056766D" w:rsidP="0056766D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наблюдение;</w:t>
      </w:r>
    </w:p>
    <w:p w:rsidR="0056766D" w:rsidRPr="00071026" w:rsidRDefault="0056766D" w:rsidP="0056766D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проблемная (диагностическая) ситуация;</w:t>
      </w:r>
    </w:p>
    <w:p w:rsidR="0056766D" w:rsidRPr="00071026" w:rsidRDefault="0056766D" w:rsidP="0056766D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беседа.</w:t>
      </w:r>
    </w:p>
    <w:p w:rsidR="0056766D" w:rsidRPr="00071026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i/>
          <w:sz w:val="28"/>
          <w:lang w:eastAsia="en-US"/>
        </w:rPr>
        <w:t>Формы проведения педагогической диагностики:</w:t>
      </w:r>
    </w:p>
    <w:p w:rsidR="0056766D" w:rsidRPr="00071026" w:rsidRDefault="0056766D" w:rsidP="0056766D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индивидуальная;</w:t>
      </w:r>
    </w:p>
    <w:p w:rsidR="0056766D" w:rsidRPr="00071026" w:rsidRDefault="0056766D" w:rsidP="0056766D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подгрупповая;</w:t>
      </w:r>
    </w:p>
    <w:p w:rsidR="0056766D" w:rsidRPr="00071026" w:rsidRDefault="0056766D" w:rsidP="0056766D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групповая.</w:t>
      </w:r>
    </w:p>
    <w:p w:rsidR="0056766D" w:rsidRPr="00071026" w:rsidRDefault="0056766D" w:rsidP="0056766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softHyphen/>
        <w:t>тям:</w:t>
      </w:r>
    </w:p>
    <w:p w:rsidR="0056766D" w:rsidRDefault="0056766D" w:rsidP="0056766D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 Высокий уровень – при 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редне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значени</w:t>
      </w:r>
      <w:r>
        <w:rPr>
          <w:rFonts w:ascii="Times New Roman" w:eastAsia="Calibri" w:hAnsi="Times New Roman" w:cs="Times New Roman"/>
          <w:sz w:val="28"/>
          <w:lang w:eastAsia="en-US"/>
        </w:rPr>
        <w:t>и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по каждому ребёнку </w:t>
      </w:r>
      <w:r>
        <w:rPr>
          <w:rFonts w:ascii="Times New Roman" w:eastAsia="Calibri" w:hAnsi="Times New Roman" w:cs="Times New Roman"/>
          <w:sz w:val="28"/>
          <w:lang w:eastAsia="en-US"/>
        </w:rPr>
        <w:t>развития от 3,8 баллов и выше.</w:t>
      </w:r>
    </w:p>
    <w:p w:rsidR="0056766D" w:rsidRDefault="0056766D" w:rsidP="0056766D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Средний уровень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- при 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редне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значени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и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от 2,3 до 3,7 бал</w:t>
      </w:r>
      <w:r>
        <w:rPr>
          <w:rFonts w:ascii="Times New Roman" w:eastAsia="Calibri" w:hAnsi="Times New Roman" w:cs="Times New Roman"/>
          <w:sz w:val="28"/>
          <w:lang w:eastAsia="en-US"/>
        </w:rPr>
        <w:t>л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ов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6766D" w:rsidRDefault="0056766D" w:rsidP="0056766D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Низкий уровень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- при 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редне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значени</w:t>
      </w:r>
      <w:r>
        <w:rPr>
          <w:rFonts w:ascii="Times New Roman" w:eastAsia="Calibri" w:hAnsi="Times New Roman" w:cs="Times New Roman"/>
          <w:sz w:val="28"/>
          <w:lang w:eastAsia="en-US"/>
        </w:rPr>
        <w:t>и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менее 2,2 бал</w:t>
      </w:r>
      <w:r>
        <w:rPr>
          <w:rFonts w:ascii="Times New Roman" w:eastAsia="Calibri" w:hAnsi="Times New Roman" w:cs="Times New Roman"/>
          <w:sz w:val="28"/>
          <w:lang w:eastAsia="en-US"/>
        </w:rPr>
        <w:t>л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ов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6766D" w:rsidRDefault="0056766D" w:rsidP="0056766D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DC7416" w:rsidRDefault="00DC7416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DC7416" w:rsidRDefault="00DC7416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DC7416" w:rsidRDefault="00DC7416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DC7416" w:rsidRDefault="00DC7416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56766D" w:rsidRPr="000C704F" w:rsidRDefault="0056766D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 w:rsidRPr="000C704F">
        <w:rPr>
          <w:rFonts w:ascii="Times New Roman" w:eastAsia="Calibri" w:hAnsi="Times New Roman" w:cs="Times New Roman"/>
          <w:sz w:val="32"/>
          <w:lang w:eastAsia="en-US"/>
        </w:rPr>
        <w:lastRenderedPageBreak/>
        <w:t xml:space="preserve">Данные диагностики за 2020 </w:t>
      </w:r>
      <w:r>
        <w:rPr>
          <w:rFonts w:ascii="Times New Roman" w:eastAsia="Calibri" w:hAnsi="Times New Roman" w:cs="Times New Roman"/>
          <w:sz w:val="32"/>
          <w:lang w:eastAsia="en-US"/>
        </w:rPr>
        <w:t xml:space="preserve">– 2021 </w:t>
      </w:r>
      <w:r w:rsidRPr="000C704F">
        <w:rPr>
          <w:rFonts w:ascii="Times New Roman" w:eastAsia="Calibri" w:hAnsi="Times New Roman" w:cs="Times New Roman"/>
          <w:sz w:val="32"/>
          <w:lang w:eastAsia="en-US"/>
        </w:rPr>
        <w:t>учебный год</w:t>
      </w:r>
    </w:p>
    <w:p w:rsidR="0056766D" w:rsidRPr="000C704F" w:rsidRDefault="0056766D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>
        <w:rPr>
          <w:rFonts w:ascii="Times New Roman" w:eastAsia="Calibri" w:hAnsi="Times New Roman" w:cs="Times New Roman"/>
          <w:sz w:val="32"/>
          <w:lang w:eastAsia="en-US"/>
        </w:rPr>
        <w:t>Старшая логопедическая</w:t>
      </w:r>
      <w:r w:rsidRPr="000C704F">
        <w:rPr>
          <w:rFonts w:ascii="Times New Roman" w:eastAsia="Calibri" w:hAnsi="Times New Roman" w:cs="Times New Roman"/>
          <w:sz w:val="32"/>
          <w:lang w:eastAsia="en-US"/>
        </w:rPr>
        <w:t xml:space="preserve"> группа №12</w:t>
      </w:r>
    </w:p>
    <w:p w:rsidR="0056766D" w:rsidRDefault="0056766D" w:rsidP="0056766D">
      <w:pPr>
        <w:spacing w:after="0" w:line="259" w:lineRule="auto"/>
        <w:rPr>
          <w:rFonts w:ascii="Calibri" w:eastAsia="Calibri" w:hAnsi="Calibri" w:cs="Times New Roman"/>
          <w:noProof/>
        </w:rPr>
      </w:pPr>
    </w:p>
    <w:p w:rsidR="0056766D" w:rsidRDefault="0056766D" w:rsidP="0056766D">
      <w:pPr>
        <w:spacing w:after="0" w:line="259" w:lineRule="auto"/>
        <w:rPr>
          <w:rFonts w:ascii="Calibri" w:eastAsia="Calibri" w:hAnsi="Calibri" w:cs="Times New Roman"/>
          <w:noProof/>
        </w:rPr>
      </w:pPr>
    </w:p>
    <w:tbl>
      <w:tblPr>
        <w:tblStyle w:val="a5"/>
        <w:tblW w:w="9900" w:type="dxa"/>
        <w:tblInd w:w="108" w:type="dxa"/>
        <w:tblLayout w:type="fixed"/>
        <w:tblLook w:val="04A0"/>
      </w:tblPr>
      <w:tblGrid>
        <w:gridCol w:w="1111"/>
        <w:gridCol w:w="733"/>
        <w:gridCol w:w="850"/>
        <w:gridCol w:w="851"/>
        <w:gridCol w:w="850"/>
        <w:gridCol w:w="1064"/>
        <w:gridCol w:w="1065"/>
        <w:gridCol w:w="947"/>
        <w:gridCol w:w="947"/>
        <w:gridCol w:w="741"/>
        <w:gridCol w:w="741"/>
      </w:tblGrid>
      <w:tr w:rsidR="0056766D" w:rsidRPr="005747CD" w:rsidTr="00C341E9">
        <w:tc>
          <w:tcPr>
            <w:tcW w:w="1111" w:type="dxa"/>
            <w:vMerge w:val="restart"/>
            <w:tcBorders>
              <w:tl2br w:val="single" w:sz="4" w:space="0" w:color="auto"/>
            </w:tcBorders>
          </w:tcPr>
          <w:p w:rsidR="0056766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Область</w:t>
            </w:r>
          </w:p>
          <w:p w:rsidR="0056766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56766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56766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56766D" w:rsidRPr="0055245E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уровень</w:t>
            </w:r>
          </w:p>
        </w:tc>
        <w:tc>
          <w:tcPr>
            <w:tcW w:w="1583" w:type="dxa"/>
            <w:gridSpan w:val="2"/>
          </w:tcPr>
          <w:p w:rsidR="0056766D" w:rsidRPr="005747CD" w:rsidRDefault="0056766D" w:rsidP="00C341E9">
            <w:pPr>
              <w:spacing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proofErr w:type="gramStart"/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Познава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-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тельное</w:t>
            </w:r>
            <w:proofErr w:type="spellEnd"/>
            <w:proofErr w:type="gramEnd"/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развитие</w:t>
            </w:r>
          </w:p>
          <w:p w:rsidR="0056766D" w:rsidRPr="005747CD" w:rsidRDefault="0056766D" w:rsidP="00C341E9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Речевое развитие</w:t>
            </w:r>
          </w:p>
          <w:p w:rsidR="0056766D" w:rsidRPr="005747CD" w:rsidRDefault="0056766D" w:rsidP="00C341E9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2129" w:type="dxa"/>
            <w:gridSpan w:val="2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Социально- коммуникативное развитие</w:t>
            </w:r>
          </w:p>
          <w:p w:rsidR="0056766D" w:rsidRPr="005747CD" w:rsidRDefault="0056766D" w:rsidP="00C341E9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56766D" w:rsidRPr="005747CD" w:rsidRDefault="0056766D" w:rsidP="00C341E9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Художественно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- эстетическое  развитие</w:t>
            </w:r>
          </w:p>
          <w:p w:rsidR="0056766D" w:rsidRPr="005747CD" w:rsidRDefault="0056766D" w:rsidP="00C341E9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1482" w:type="dxa"/>
            <w:gridSpan w:val="2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Физическое развитие</w:t>
            </w:r>
          </w:p>
          <w:p w:rsidR="0056766D" w:rsidRPr="005747CD" w:rsidRDefault="0056766D" w:rsidP="00C341E9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</w:tr>
      <w:tr w:rsidR="0056766D" w:rsidRPr="005747CD" w:rsidTr="00C341E9">
        <w:tc>
          <w:tcPr>
            <w:tcW w:w="1111" w:type="dxa"/>
            <w:vMerge/>
          </w:tcPr>
          <w:p w:rsidR="0056766D" w:rsidRPr="0055245E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733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850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851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850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1064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1065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947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947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741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741" w:type="dxa"/>
          </w:tcPr>
          <w:p w:rsidR="0056766D" w:rsidRPr="005747CD" w:rsidRDefault="0056766D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</w:tr>
      <w:tr w:rsidR="00485E1F" w:rsidRPr="005747CD" w:rsidTr="00C341E9">
        <w:tc>
          <w:tcPr>
            <w:tcW w:w="1111" w:type="dxa"/>
            <w:vAlign w:val="bottom"/>
          </w:tcPr>
          <w:p w:rsidR="00485E1F" w:rsidRPr="005747CD" w:rsidRDefault="00485E1F" w:rsidP="00C341E9">
            <w:pPr>
              <w:spacing w:line="259" w:lineRule="auto"/>
              <w:ind w:right="-105"/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Вы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сокий уровень</w:t>
            </w:r>
          </w:p>
        </w:tc>
        <w:tc>
          <w:tcPr>
            <w:tcW w:w="733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11%</w:t>
            </w:r>
          </w:p>
        </w:tc>
        <w:tc>
          <w:tcPr>
            <w:tcW w:w="850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74%</w:t>
            </w:r>
          </w:p>
        </w:tc>
        <w:tc>
          <w:tcPr>
            <w:tcW w:w="85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7%</w:t>
            </w:r>
          </w:p>
        </w:tc>
        <w:tc>
          <w:tcPr>
            <w:tcW w:w="850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54%</w:t>
            </w:r>
          </w:p>
        </w:tc>
        <w:tc>
          <w:tcPr>
            <w:tcW w:w="1064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7%</w:t>
            </w:r>
          </w:p>
        </w:tc>
        <w:tc>
          <w:tcPr>
            <w:tcW w:w="1065" w:type="dxa"/>
          </w:tcPr>
          <w:p w:rsidR="00485E1F" w:rsidRPr="008455D3" w:rsidRDefault="00DC7416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0"/>
              </w:rPr>
              <w:t>6</w:t>
            </w:r>
            <w:r w:rsidR="00485E1F"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3%</w:t>
            </w:r>
          </w:p>
        </w:tc>
        <w:tc>
          <w:tcPr>
            <w:tcW w:w="947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14%</w:t>
            </w:r>
          </w:p>
        </w:tc>
        <w:tc>
          <w:tcPr>
            <w:tcW w:w="947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46%</w:t>
            </w:r>
          </w:p>
        </w:tc>
        <w:tc>
          <w:tcPr>
            <w:tcW w:w="74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11%</w:t>
            </w:r>
          </w:p>
        </w:tc>
        <w:tc>
          <w:tcPr>
            <w:tcW w:w="74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46%</w:t>
            </w:r>
          </w:p>
        </w:tc>
      </w:tr>
      <w:tr w:rsidR="00485E1F" w:rsidRPr="005747CD" w:rsidTr="00C341E9">
        <w:tc>
          <w:tcPr>
            <w:tcW w:w="1111" w:type="dxa"/>
            <w:vAlign w:val="bottom"/>
          </w:tcPr>
          <w:p w:rsidR="00485E1F" w:rsidRPr="005747CD" w:rsidRDefault="00485E1F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С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редний уровень</w:t>
            </w:r>
          </w:p>
        </w:tc>
        <w:tc>
          <w:tcPr>
            <w:tcW w:w="733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68%</w:t>
            </w:r>
          </w:p>
        </w:tc>
        <w:tc>
          <w:tcPr>
            <w:tcW w:w="850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26%</w:t>
            </w:r>
          </w:p>
        </w:tc>
        <w:tc>
          <w:tcPr>
            <w:tcW w:w="85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57%</w:t>
            </w:r>
          </w:p>
        </w:tc>
        <w:tc>
          <w:tcPr>
            <w:tcW w:w="850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46%</w:t>
            </w:r>
          </w:p>
        </w:tc>
        <w:tc>
          <w:tcPr>
            <w:tcW w:w="1064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75%</w:t>
            </w:r>
          </w:p>
        </w:tc>
        <w:tc>
          <w:tcPr>
            <w:tcW w:w="1065" w:type="dxa"/>
          </w:tcPr>
          <w:p w:rsidR="00485E1F" w:rsidRPr="008455D3" w:rsidRDefault="00DC7416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0"/>
              </w:rPr>
              <w:t>3</w:t>
            </w:r>
            <w:r w:rsidR="00485E1F"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7%</w:t>
            </w:r>
          </w:p>
        </w:tc>
        <w:tc>
          <w:tcPr>
            <w:tcW w:w="947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57%</w:t>
            </w:r>
          </w:p>
        </w:tc>
        <w:tc>
          <w:tcPr>
            <w:tcW w:w="947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54%</w:t>
            </w:r>
          </w:p>
        </w:tc>
        <w:tc>
          <w:tcPr>
            <w:tcW w:w="74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86%</w:t>
            </w:r>
          </w:p>
        </w:tc>
        <w:tc>
          <w:tcPr>
            <w:tcW w:w="74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54%</w:t>
            </w:r>
          </w:p>
        </w:tc>
      </w:tr>
      <w:tr w:rsidR="00485E1F" w:rsidRPr="005747CD" w:rsidTr="00C341E9">
        <w:tc>
          <w:tcPr>
            <w:tcW w:w="1111" w:type="dxa"/>
            <w:vAlign w:val="bottom"/>
          </w:tcPr>
          <w:p w:rsidR="00485E1F" w:rsidRPr="005747CD" w:rsidRDefault="00485E1F" w:rsidP="00C341E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Н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изкий уровень</w:t>
            </w:r>
          </w:p>
        </w:tc>
        <w:tc>
          <w:tcPr>
            <w:tcW w:w="733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21%</w:t>
            </w:r>
          </w:p>
        </w:tc>
        <w:tc>
          <w:tcPr>
            <w:tcW w:w="850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85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36%</w:t>
            </w:r>
          </w:p>
        </w:tc>
        <w:tc>
          <w:tcPr>
            <w:tcW w:w="850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1064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18%</w:t>
            </w:r>
          </w:p>
        </w:tc>
        <w:tc>
          <w:tcPr>
            <w:tcW w:w="1065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947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29%</w:t>
            </w:r>
          </w:p>
        </w:tc>
        <w:tc>
          <w:tcPr>
            <w:tcW w:w="947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74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3%</w:t>
            </w:r>
          </w:p>
        </w:tc>
        <w:tc>
          <w:tcPr>
            <w:tcW w:w="741" w:type="dxa"/>
          </w:tcPr>
          <w:p w:rsidR="00485E1F" w:rsidRPr="008455D3" w:rsidRDefault="00485E1F" w:rsidP="00C341E9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8455D3">
              <w:rPr>
                <w:rFonts w:ascii="Times New Roman" w:eastAsia="Arial Unicode MS" w:hAnsi="Times New Roman" w:cs="Times New Roman"/>
                <w:sz w:val="24"/>
                <w:szCs w:val="20"/>
              </w:rPr>
              <w:t>0%</w:t>
            </w:r>
          </w:p>
        </w:tc>
      </w:tr>
    </w:tbl>
    <w:p w:rsidR="0056766D" w:rsidRPr="0055245E" w:rsidRDefault="0056766D" w:rsidP="0056766D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485E1F" w:rsidRPr="00A17879" w:rsidRDefault="00485E1F" w:rsidP="00485E1F">
      <w:pPr>
        <w:spacing w:after="0" w:line="259" w:lineRule="auto"/>
        <w:ind w:firstLine="567"/>
        <w:rPr>
          <w:rFonts w:ascii="Times New Roman" w:eastAsia="Calibri" w:hAnsi="Times New Roman" w:cs="Times New Roman"/>
          <w:b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b/>
          <w:sz w:val="28"/>
          <w:lang w:eastAsia="en-US"/>
        </w:rPr>
        <w:t>«Познавательное развитие»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По данным </w:t>
      </w:r>
      <w:r>
        <w:rPr>
          <w:rFonts w:ascii="Times New Roman" w:eastAsia="Calibri" w:hAnsi="Times New Roman" w:cs="Times New Roman"/>
          <w:sz w:val="28"/>
          <w:lang w:eastAsia="en-US"/>
        </w:rPr>
        <w:t>мониторинга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можно сделать вывод, чт</w:t>
      </w:r>
      <w:r>
        <w:rPr>
          <w:rFonts w:ascii="Times New Roman" w:eastAsia="Calibri" w:hAnsi="Times New Roman" w:cs="Times New Roman"/>
          <w:sz w:val="28"/>
          <w:lang w:eastAsia="en-US"/>
        </w:rPr>
        <w:t>о на конец учебного года детьмипо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данной образовательной области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программный материал 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>усвоен на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высоком и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среднем уровне.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485E1F" w:rsidRPr="00A17879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Дети 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>знаютсвоё имя и фамилию, адрес прожи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softHyphen/>
        <w:t xml:space="preserve">вания, имена 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 xml:space="preserve">и фамилии 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>ро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softHyphen/>
        <w:t>дителей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, их профессии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 xml:space="preserve">Знают о </w:t>
      </w:r>
      <w:r w:rsidR="00ED54BC" w:rsidRPr="00F424DB">
        <w:rPr>
          <w:rFonts w:ascii="Times New Roman" w:eastAsia="Calibri" w:hAnsi="Times New Roman" w:cs="Times New Roman"/>
          <w:sz w:val="28"/>
          <w:lang w:eastAsia="en-US"/>
        </w:rPr>
        <w:t>значении солнца, воздуха, воды для человека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.</w:t>
      </w:r>
      <w:r w:rsidR="00ED54BC" w:rsidRPr="00F424DB">
        <w:rPr>
          <w:rFonts w:ascii="Times New Roman" w:eastAsia="Calibri" w:hAnsi="Times New Roman" w:cs="Times New Roman"/>
          <w:sz w:val="28"/>
          <w:lang w:eastAsia="en-US"/>
        </w:rPr>
        <w:t>Называ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ю</w:t>
      </w:r>
      <w:r w:rsidR="00ED54BC" w:rsidRPr="00F424DB">
        <w:rPr>
          <w:rFonts w:ascii="Times New Roman" w:eastAsia="Calibri" w:hAnsi="Times New Roman" w:cs="Times New Roman"/>
          <w:sz w:val="28"/>
          <w:lang w:eastAsia="en-US"/>
        </w:rPr>
        <w:t xml:space="preserve">т 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виды транспорта, бытовую технику, определяют материал, из которого сделан предмет. Многие дети знают столицу России, могут назвать некоторые достопримечательности г. Улан-Удэ.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Ориентируется в пространстве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 xml:space="preserve"> и во времени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Различа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т круг, квадрат, треугольник, прямоугольник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, овал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Уме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 xml:space="preserve">т 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выкладывать ряд предметов по длине, ширине, высоте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   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>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поддерживать детскую инициативу и творчество.</w:t>
      </w:r>
    </w:p>
    <w:p w:rsidR="00485E1F" w:rsidRPr="00AA02ED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AA02ED">
        <w:rPr>
          <w:rFonts w:ascii="Times New Roman" w:eastAsia="Calibri" w:hAnsi="Times New Roman" w:cs="Times New Roman"/>
          <w:b/>
          <w:sz w:val="28"/>
          <w:lang w:eastAsia="en-US"/>
        </w:rPr>
        <w:t> «Речевое развитие»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По итогам сравнительного анализа показателей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на 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>начал</w:t>
      </w:r>
      <w:r>
        <w:rPr>
          <w:rFonts w:ascii="Times New Roman" w:eastAsia="Calibri" w:hAnsi="Times New Roman" w:cs="Times New Roman"/>
          <w:sz w:val="28"/>
          <w:lang w:eastAsia="en-US"/>
        </w:rPr>
        <w:t>о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и ко</w:t>
      </w:r>
      <w:r>
        <w:rPr>
          <w:rFonts w:ascii="Times New Roman" w:eastAsia="Calibri" w:hAnsi="Times New Roman" w:cs="Times New Roman"/>
          <w:sz w:val="28"/>
          <w:lang w:eastAsia="en-US"/>
        </w:rPr>
        <w:t>нец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учебного года, можно сделать следующие выводы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уровень </w:t>
      </w:r>
      <w:r>
        <w:rPr>
          <w:rFonts w:ascii="Times New Roman" w:eastAsia="Calibri" w:hAnsi="Times New Roman" w:cs="Times New Roman"/>
          <w:sz w:val="28"/>
          <w:lang w:eastAsia="en-US"/>
        </w:rPr>
        <w:t>развития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детей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по образовательной области «Речевое развитие»имеет положительную динамику. 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485E1F" w:rsidRPr="00AA02ED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lastRenderedPageBreak/>
        <w:t>Дети проявляют интерес к художественной литературе</w:t>
      </w:r>
      <w:r w:rsidR="00ED54BC">
        <w:rPr>
          <w:rFonts w:ascii="Times New Roman" w:eastAsia="Calibri" w:hAnsi="Times New Roman" w:cs="Times New Roman"/>
          <w:sz w:val="28"/>
          <w:lang w:eastAsia="en-US"/>
        </w:rPr>
        <w:t>, имеют предпочтения в выборе литературного произведения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Могут пересказать сюжет литературного произведения, рассказать стихотворение наизусть, рассказать о содержании сюжетной картинки, повторить образец описания игрушки. Проявляют интерес к драматизации знакомых сказок. Поддерживают беседу, используя все части речи. </w:t>
      </w:r>
      <w:r w:rsidR="006A0A2D">
        <w:rPr>
          <w:rFonts w:ascii="Times New Roman" w:eastAsia="Calibri" w:hAnsi="Times New Roman" w:cs="Times New Roman"/>
          <w:sz w:val="28"/>
          <w:lang w:eastAsia="en-US"/>
        </w:rPr>
        <w:t xml:space="preserve">Могут высказать свою точку зрения. </w:t>
      </w:r>
      <w:r>
        <w:rPr>
          <w:rFonts w:ascii="Times New Roman" w:eastAsia="Calibri" w:hAnsi="Times New Roman" w:cs="Times New Roman"/>
          <w:sz w:val="28"/>
          <w:lang w:eastAsia="en-US"/>
        </w:rPr>
        <w:t>Понимают и употребляют слова-антонимы</w:t>
      </w:r>
      <w:r w:rsidR="006A0A2D">
        <w:rPr>
          <w:rFonts w:ascii="Times New Roman" w:eastAsia="Calibri" w:hAnsi="Times New Roman" w:cs="Times New Roman"/>
          <w:sz w:val="28"/>
          <w:lang w:eastAsia="en-US"/>
        </w:rPr>
        <w:t>, синонимы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>Д</w:t>
      </w:r>
      <w:r>
        <w:rPr>
          <w:rFonts w:ascii="Times New Roman" w:eastAsia="Calibri" w:hAnsi="Times New Roman" w:cs="Times New Roman"/>
          <w:sz w:val="28"/>
          <w:lang w:eastAsia="en-US"/>
        </w:rPr>
        <w:t>ети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научились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определять </w:t>
      </w:r>
      <w:r w:rsidR="006A0A2D">
        <w:rPr>
          <w:rFonts w:ascii="Times New Roman" w:eastAsia="Calibri" w:hAnsi="Times New Roman" w:cs="Times New Roman"/>
          <w:sz w:val="28"/>
          <w:lang w:eastAsia="en-US"/>
        </w:rPr>
        <w:t>место звука в слове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и 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>находить слова с заданным звуком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Программный материал в данной образовательной области усвоен на среднем уровне.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A02ED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C93842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ля дальнейшего роста показателей, планируется продолжать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индивидуальные занятия с детьми, используя 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>дидактические игры</w:t>
      </w:r>
      <w:r>
        <w:rPr>
          <w:rFonts w:ascii="Times New Roman" w:eastAsia="Calibri" w:hAnsi="Times New Roman" w:cs="Times New Roman"/>
          <w:sz w:val="28"/>
          <w:lang w:eastAsia="en-US"/>
        </w:rPr>
        <w:t>. Ч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итать литературные произведений, расширять знания о жанрах литературы, учить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запоминать и 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>рассказывать стихи, составлять рассказы по сюжетным картинкам.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Во время режимных моментов использовать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коммуникативны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е игры, 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>выполнять пальчиковую гимнастик</w:t>
      </w:r>
      <w:r>
        <w:rPr>
          <w:rFonts w:ascii="Times New Roman" w:eastAsia="Calibri" w:hAnsi="Times New Roman" w:cs="Times New Roman"/>
          <w:sz w:val="28"/>
          <w:lang w:eastAsia="en-US"/>
        </w:rPr>
        <w:t>у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, расширять кругозор детей. Обновлять детскую литературу в книжном уголке каждую неделю, опираясь на лексические темы и праздники календаря. </w:t>
      </w:r>
    </w:p>
    <w:p w:rsidR="00485E1F" w:rsidRPr="001B3276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«</w:t>
      </w:r>
      <w:r w:rsidRPr="001B3276">
        <w:rPr>
          <w:rFonts w:ascii="Times New Roman" w:eastAsia="Calibri" w:hAnsi="Times New Roman" w:cs="Times New Roman"/>
          <w:b/>
          <w:sz w:val="28"/>
          <w:lang w:eastAsia="en-US"/>
        </w:rPr>
        <w:t>Социально-коммуникативное развитие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»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По данным мониторинга на конец учебного года видно, что программный материал образовательной области усвоен детьми на высоком уровне.  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485E1F" w:rsidRPr="001B3276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B3276">
        <w:rPr>
          <w:rFonts w:ascii="Times New Roman" w:eastAsia="Calibri" w:hAnsi="Times New Roman" w:cs="Times New Roman"/>
          <w:sz w:val="28"/>
          <w:lang w:eastAsia="en-US"/>
        </w:rPr>
        <w:t>Д</w:t>
      </w:r>
      <w:r>
        <w:rPr>
          <w:rFonts w:ascii="Times New Roman" w:eastAsia="Calibri" w:hAnsi="Times New Roman" w:cs="Times New Roman"/>
          <w:sz w:val="28"/>
          <w:lang w:eastAsia="en-US"/>
        </w:rPr>
        <w:t>ети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 группы </w:t>
      </w:r>
      <w:r>
        <w:rPr>
          <w:rFonts w:ascii="Times New Roman" w:eastAsia="Calibri" w:hAnsi="Times New Roman" w:cs="Times New Roman"/>
          <w:sz w:val="28"/>
          <w:lang w:eastAsia="en-US"/>
        </w:rPr>
        <w:t>с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>тара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тся соблюдать правила  поведения  в общественных местах, в общении </w:t>
      </w:r>
      <w:proofErr w:type="gramStart"/>
      <w:r w:rsidRPr="001B3276">
        <w:rPr>
          <w:rFonts w:ascii="Times New Roman" w:eastAsia="Calibri" w:hAnsi="Times New Roman" w:cs="Times New Roman"/>
          <w:sz w:val="28"/>
          <w:lang w:eastAsia="en-US"/>
        </w:rPr>
        <w:t>со</w:t>
      </w:r>
      <w:proofErr w:type="gramEnd"/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 взрослыми и  с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верстниками. Дети научились оценивать 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>поступк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и как 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 xml:space="preserve">чужие,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так и  сверстников. Научились понимать 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 xml:space="preserve">и употреблять в речи </w:t>
      </w:r>
      <w:r>
        <w:rPr>
          <w:rFonts w:ascii="Times New Roman" w:eastAsia="Calibri" w:hAnsi="Times New Roman" w:cs="Times New Roman"/>
          <w:sz w:val="28"/>
          <w:lang w:eastAsia="en-US"/>
        </w:rPr>
        <w:t>значение слов, обозначающих эмоциональное состояние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>, этические качества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Могут 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>выполнять обязанности дежурного по столовой, в уголке природы.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Дети проявляют интерес и инициативу в 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 xml:space="preserve">совместных </w:t>
      </w:r>
      <w:r>
        <w:rPr>
          <w:rFonts w:ascii="Times New Roman" w:eastAsia="Calibri" w:hAnsi="Times New Roman" w:cs="Times New Roman"/>
          <w:sz w:val="28"/>
          <w:lang w:eastAsia="en-US"/>
        </w:rPr>
        <w:t>играх</w:t>
      </w:r>
      <w:r w:rsidR="00C93842">
        <w:rPr>
          <w:rFonts w:ascii="Times New Roman" w:eastAsia="Calibri" w:hAnsi="Times New Roman" w:cs="Times New Roman"/>
          <w:sz w:val="28"/>
          <w:lang w:eastAsia="en-US"/>
        </w:rPr>
        <w:t xml:space="preserve"> со сверстниками</w:t>
      </w:r>
      <w:r>
        <w:rPr>
          <w:rFonts w:ascii="Times New Roman" w:eastAsia="Calibri" w:hAnsi="Times New Roman" w:cs="Times New Roman"/>
          <w:sz w:val="28"/>
          <w:lang w:eastAsia="en-US"/>
        </w:rPr>
        <w:t>, обустраивают игровое пространство и могут объяснить правила игры.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B3276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Н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еобходимо продолжать уделять внимание формированию культуры общения </w:t>
      </w:r>
      <w:proofErr w:type="gramStart"/>
      <w:r w:rsidRPr="001B3276">
        <w:rPr>
          <w:rFonts w:ascii="Times New Roman" w:eastAsia="Calibri" w:hAnsi="Times New Roman" w:cs="Times New Roman"/>
          <w:sz w:val="28"/>
          <w:lang w:eastAsia="en-US"/>
        </w:rPr>
        <w:t>со</w:t>
      </w:r>
      <w:proofErr w:type="gramEnd"/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 взрослыми и сверстниками, учить общаться бесконфликтно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прививать правила элементарной вежливости. </w:t>
      </w:r>
      <w:r>
        <w:rPr>
          <w:rFonts w:ascii="Times New Roman" w:eastAsia="Calibri" w:hAnsi="Times New Roman" w:cs="Times New Roman"/>
          <w:sz w:val="28"/>
          <w:lang w:eastAsia="en-US"/>
        </w:rPr>
        <w:t>Ф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>ормиров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ать эмоциональную отзывчивость. 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Необходимо уделять внимание обогащению сюжетно – ролевых игр, </w:t>
      </w:r>
      <w:r>
        <w:rPr>
          <w:rFonts w:ascii="Times New Roman" w:eastAsia="Calibri" w:hAnsi="Times New Roman" w:cs="Times New Roman"/>
          <w:sz w:val="28"/>
          <w:lang w:eastAsia="en-US"/>
        </w:rPr>
        <w:t>формированиюумения вести диалоги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485E1F" w:rsidRPr="00D77E0A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b/>
          <w:sz w:val="28"/>
          <w:lang w:eastAsia="en-US"/>
        </w:rPr>
        <w:t>«Художественно-эстетическое развитие»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Программный материал в данной области усвоен детьми на среднем уровне. 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485E1F" w:rsidRDefault="00485E1F" w:rsidP="003E03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Дети к концу года могут 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конструировать по собственному замыслу. Способ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ны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использовать простые схематические изображения для решения несложных задач, строить по схеме, решать лабиринтные задачи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lang w:eastAsia="en-US"/>
        </w:rPr>
        <w:t>Не все дети научились правильно держать</w:t>
      </w:r>
      <w:r w:rsidRPr="004971B6">
        <w:rPr>
          <w:rFonts w:ascii="Times New Roman" w:eastAsia="Calibri" w:hAnsi="Times New Roman" w:cs="Times New Roman"/>
          <w:sz w:val="28"/>
          <w:lang w:eastAsia="en-US"/>
        </w:rPr>
        <w:t xml:space="preserve"> ножницы и резать ими по прямой, по диагонали (квадрат и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прямоугольник), </w:t>
      </w:r>
      <w:r w:rsidRPr="00D770EB">
        <w:rPr>
          <w:rFonts w:ascii="Times New Roman" w:eastAsia="Calibri" w:hAnsi="Times New Roman" w:cs="Times New Roman"/>
          <w:sz w:val="28"/>
          <w:lang w:eastAsia="en-US"/>
        </w:rPr>
        <w:t>вырезать круг из квадрата, овал – из прямоугольника, плавно срезать и закруглять углы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Многие дети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проявляют интерес к художественному творчеству: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с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озда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ю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тиндивидуальные и коллективные рисунки, сюжетные и декоративные композиции, используя разные материалы и способы создания,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 xml:space="preserve">не все дети научились различать 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жанры муз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 xml:space="preserve">ыкальных произведений.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Некоторые дети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могу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т ритмично </w:t>
      </w:r>
      <w:proofErr w:type="gramStart"/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двигаться</w:t>
      </w:r>
      <w:proofErr w:type="gramEnd"/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но характеру музыки, само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стоятельно инсце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ниру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ют содержание песен, хороводов, выполняют танцевальные движения. Некоторые дети  научились играть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на детских муз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ыкальных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инструментах несложные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мелодии.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</w:t>
      </w:r>
      <w:r w:rsidRPr="00D77E0A">
        <w:rPr>
          <w:rFonts w:ascii="Times New Roman" w:eastAsia="Calibri" w:hAnsi="Times New Roman" w:cs="Times New Roman"/>
          <w:sz w:val="28"/>
          <w:lang w:eastAsia="en-US"/>
        </w:rPr>
        <w:t>родолжать совершенствовать технику рисования, лепки, аппликации, развивать творческие способности воспитанников. Также продолжать учить правильно, держать ножницы и правильно вырезать из бумаги. 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</w:t>
      </w:r>
      <w:r>
        <w:rPr>
          <w:rFonts w:ascii="Times New Roman" w:eastAsia="Calibri" w:hAnsi="Times New Roman" w:cs="Times New Roman"/>
          <w:sz w:val="28"/>
          <w:lang w:eastAsia="en-US"/>
        </w:rPr>
        <w:t>е</w:t>
      </w: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 для творчества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«Маленькие художники»</w:t>
      </w: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 предоставить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</w:t>
      </w:r>
      <w:r>
        <w:rPr>
          <w:rFonts w:ascii="Times New Roman" w:eastAsia="Calibri" w:hAnsi="Times New Roman" w:cs="Times New Roman"/>
          <w:sz w:val="28"/>
          <w:lang w:eastAsia="en-US"/>
        </w:rPr>
        <w:t>ями воспитанников</w:t>
      </w: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 и организовывать конкурсы совместного детско- родительского творчества.</w:t>
      </w:r>
    </w:p>
    <w:p w:rsidR="00485E1F" w:rsidRPr="00CA3086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A3086">
        <w:rPr>
          <w:rFonts w:ascii="Times New Roman" w:eastAsia="Calibri" w:hAnsi="Times New Roman" w:cs="Times New Roman"/>
          <w:b/>
          <w:sz w:val="28"/>
          <w:lang w:eastAsia="en-US"/>
        </w:rPr>
        <w:t>«Физическое развитие»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По данным </w:t>
      </w:r>
      <w:r>
        <w:rPr>
          <w:rFonts w:ascii="Times New Roman" w:eastAsia="Calibri" w:hAnsi="Times New Roman" w:cs="Times New Roman"/>
          <w:sz w:val="28"/>
          <w:lang w:eastAsia="en-US"/>
        </w:rPr>
        <w:t>мониторинга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можно сделать вывод, чт</w:t>
      </w:r>
      <w:r>
        <w:rPr>
          <w:rFonts w:ascii="Times New Roman" w:eastAsia="Calibri" w:hAnsi="Times New Roman" w:cs="Times New Roman"/>
          <w:sz w:val="28"/>
          <w:lang w:eastAsia="en-US"/>
        </w:rPr>
        <w:t>о на конец учебного года детьмипо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данной образовательной области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программный материал 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усвоен на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среднем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уровне.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3E03ED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Дети з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 xml:space="preserve">т 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о важных и вредных факторах для здоровья, о зна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ч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ении для здоровья утренней гимнастики, закаливани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я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, соблюдения режима дня</w:t>
      </w:r>
      <w:r>
        <w:rPr>
          <w:rFonts w:ascii="Times New Roman" w:eastAsia="Calibri" w:hAnsi="Times New Roman" w:cs="Times New Roman"/>
          <w:sz w:val="28"/>
          <w:lang w:eastAsia="en-US"/>
        </w:rPr>
        <w:t>, с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облюда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т элементарные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правила личной гигиены. Все дети научились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самостоятельноодеваться и раздеваться,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стараются аккуратно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убира</w:t>
      </w:r>
      <w:r>
        <w:rPr>
          <w:rFonts w:ascii="Times New Roman" w:eastAsia="Calibri" w:hAnsi="Times New Roman" w:cs="Times New Roman"/>
          <w:sz w:val="28"/>
          <w:lang w:eastAsia="en-US"/>
        </w:rPr>
        <w:t>ть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 xml:space="preserve"> одежду и обувь вшкафчик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Многие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дети научились 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перестраиваться в </w:t>
      </w:r>
      <w:proofErr w:type="gramStart"/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колонну</w:t>
      </w:r>
      <w:proofErr w:type="gramEnd"/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но трое, четверо, равняться, размыкаться, выполнять повороты в колонне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Многие дети умеют действовать с мячом: 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>метать предметы правой и левой руками в вертикальную и горизонтальную цель, отбива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ть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и ловит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ь</w:t>
      </w:r>
      <w:r w:rsidR="003E03ED" w:rsidRPr="003E03ED">
        <w:rPr>
          <w:rFonts w:ascii="Times New Roman" w:eastAsia="Calibri" w:hAnsi="Times New Roman" w:cs="Times New Roman"/>
          <w:sz w:val="28"/>
          <w:lang w:eastAsia="en-US"/>
        </w:rPr>
        <w:t xml:space="preserve"> мяч</w:t>
      </w:r>
      <w:r w:rsidR="003E03E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A3086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485E1F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 xml:space="preserve">родолжать создавать развивающую предметно – пространственную среду для оптимальной двигательной активности детей в ДОУ, уделять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особое внимание закреплению основных видов движения, развитию основных физических качеств, созданию </w:t>
      </w:r>
      <w:proofErr w:type="spellStart"/>
      <w:r w:rsidRPr="00CA3086">
        <w:rPr>
          <w:rFonts w:ascii="Times New Roman" w:eastAsia="Calibri" w:hAnsi="Times New Roman" w:cs="Times New Roman"/>
          <w:sz w:val="28"/>
          <w:lang w:eastAsia="en-US"/>
        </w:rPr>
        <w:t>здоровьесберегающих</w:t>
      </w:r>
      <w:proofErr w:type="spellEnd"/>
      <w:r w:rsidRPr="00CA3086">
        <w:rPr>
          <w:rFonts w:ascii="Times New Roman" w:eastAsia="Calibri" w:hAnsi="Times New Roman" w:cs="Times New Roman"/>
          <w:sz w:val="28"/>
          <w:lang w:eastAsia="en-US"/>
        </w:rP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 - родительские мероприятия.</w:t>
      </w:r>
    </w:p>
    <w:p w:rsidR="00485E1F" w:rsidRPr="00CA3086" w:rsidRDefault="00485E1F" w:rsidP="00485E1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6766D" w:rsidRPr="007B6FB4" w:rsidRDefault="007C293D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5702079" cy="3299791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6766D" w:rsidRDefault="0056766D" w:rsidP="0056766D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56766D" w:rsidRDefault="00841555" w:rsidP="00841555">
      <w:pPr>
        <w:spacing w:after="0" w:line="259" w:lineRule="auto"/>
        <w:ind w:firstLine="142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8C0B7E">
        <w:rPr>
          <w:rFonts w:ascii="Times New Roman" w:eastAsia="Calibri" w:hAnsi="Times New Roman" w:cs="Times New Roman"/>
          <w:noProof/>
          <w:color w:val="FF0000"/>
          <w:sz w:val="28"/>
        </w:rPr>
        <w:drawing>
          <wp:inline distT="0" distB="0" distL="0" distR="0">
            <wp:extent cx="5702079" cy="3299791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6766D" w:rsidRPr="00E7489D" w:rsidRDefault="0056766D" w:rsidP="00E7489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E7489D" w:rsidRDefault="00CF77AB" w:rsidP="00CF77AB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Выводы:</w:t>
      </w:r>
    </w:p>
    <w:p w:rsidR="00CF77AB" w:rsidRDefault="00DC7416" w:rsidP="00CF77AB">
      <w:pPr>
        <w:widowControl w:val="0"/>
        <w:shd w:val="clear" w:color="auto" w:fill="FFFFFF"/>
        <w:spacing w:after="0"/>
        <w:ind w:right="27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</w:t>
      </w:r>
      <w:r w:rsidR="008455D3" w:rsidRPr="008455D3">
        <w:rPr>
          <w:rFonts w:ascii="Times New Roman" w:eastAsia="Arial Unicode MS" w:hAnsi="Times New Roman" w:cs="Times New Roman"/>
          <w:sz w:val="28"/>
          <w:szCs w:val="28"/>
        </w:rPr>
        <w:t xml:space="preserve"> группе была проведена диагностика в ходе наблюдений за </w:t>
      </w:r>
      <w:r w:rsidR="008455D3" w:rsidRPr="008455D3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активностью детей в спонтанной и специально организованной деятельности. </w:t>
      </w:r>
    </w:p>
    <w:p w:rsidR="008455D3" w:rsidRPr="008455D3" w:rsidRDefault="008455D3" w:rsidP="00CF77AB">
      <w:pPr>
        <w:widowControl w:val="0"/>
        <w:shd w:val="clear" w:color="auto" w:fill="FFFFFF"/>
        <w:spacing w:after="0"/>
        <w:ind w:right="27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455D3">
        <w:rPr>
          <w:rFonts w:ascii="Times New Roman" w:eastAsia="Arial Unicode MS" w:hAnsi="Times New Roman" w:cs="Times New Roman"/>
          <w:sz w:val="28"/>
          <w:szCs w:val="28"/>
        </w:rPr>
        <w:t>По результатам итоговой диагностики можно сделать вывод, что</w:t>
      </w:r>
      <w:r w:rsidR="00DC7416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455D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Pr="008455D3">
        <w:rPr>
          <w:rFonts w:ascii="Times New Roman" w:eastAsia="Arial Unicode MS" w:hAnsi="Times New Roman" w:cs="Times New Roman"/>
          <w:sz w:val="28"/>
          <w:szCs w:val="28"/>
        </w:rPr>
        <w:t>на конец</w:t>
      </w:r>
      <w:proofErr w:type="gramEnd"/>
      <w:r w:rsidRPr="008455D3">
        <w:rPr>
          <w:rFonts w:ascii="Times New Roman" w:eastAsia="Arial Unicode MS" w:hAnsi="Times New Roman" w:cs="Times New Roman"/>
          <w:sz w:val="28"/>
          <w:szCs w:val="28"/>
        </w:rPr>
        <w:t xml:space="preserve"> 2020-2021 учебного года детьми группы №12 «Багульник» программный материал усвоен. Прослеживается положительная динамика по всем образовательным областям. Показатели реализации образовательной программы находятся в пределах высокого и среднего уровня. Это означает, что применение в </w:t>
      </w:r>
      <w:r w:rsidRPr="008455D3">
        <w:rPr>
          <w:rFonts w:ascii="Times New Roman" w:eastAsia="Arial Unicode MS" w:hAnsi="Times New Roman" w:cs="Times New Roman"/>
          <w:bCs/>
          <w:sz w:val="28"/>
          <w:szCs w:val="28"/>
        </w:rPr>
        <w:t>педагогической</w:t>
      </w:r>
      <w:r w:rsidRPr="008455D3">
        <w:rPr>
          <w:rFonts w:ascii="Times New Roman" w:eastAsia="Arial Unicode MS" w:hAnsi="Times New Roman" w:cs="Times New Roman"/>
          <w:sz w:val="28"/>
          <w:szCs w:val="28"/>
        </w:rPr>
        <w:t> практике рабочей программы положительно сказывается на </w:t>
      </w:r>
      <w:r w:rsidRPr="008455D3">
        <w:rPr>
          <w:rFonts w:ascii="Times New Roman" w:eastAsia="Arial Unicode MS" w:hAnsi="Times New Roman" w:cs="Times New Roman"/>
          <w:bCs/>
          <w:sz w:val="28"/>
          <w:szCs w:val="28"/>
        </w:rPr>
        <w:t>результатах усвоения программного материала</w:t>
      </w:r>
      <w:r w:rsidRPr="008455D3">
        <w:rPr>
          <w:rFonts w:ascii="Times New Roman" w:eastAsia="Arial Unicode MS" w:hAnsi="Times New Roman" w:cs="Times New Roman"/>
          <w:sz w:val="28"/>
          <w:szCs w:val="28"/>
        </w:rPr>
        <w:t>. Таким образом, образовательная деятельность группы реализуется на достаточном уровне.</w:t>
      </w:r>
      <w:r w:rsidR="00CF77AB" w:rsidRPr="00CF77AB">
        <w:rPr>
          <w:rFonts w:ascii="Times New Roman" w:eastAsia="Arial Unicode MS" w:hAnsi="Times New Roman" w:cs="Times New Roman"/>
          <w:sz w:val="28"/>
          <w:szCs w:val="28"/>
        </w:rPr>
        <w:t>Знания и навыки, полученные детьми в ходе организованной образовательной деятельности, необходимо систематически закреплять и продолжать применять в разнообразных видах детской деятельности.</w:t>
      </w:r>
      <w:bookmarkStart w:id="0" w:name="_GoBack"/>
      <w:bookmarkEnd w:id="0"/>
    </w:p>
    <w:p w:rsidR="009145E7" w:rsidRPr="008455D3" w:rsidRDefault="009145E7">
      <w:pPr>
        <w:rPr>
          <w:rFonts w:ascii="Times New Roman" w:hAnsi="Times New Roman" w:cs="Times New Roman"/>
          <w:sz w:val="28"/>
          <w:szCs w:val="28"/>
        </w:rPr>
      </w:pPr>
    </w:p>
    <w:sectPr w:rsidR="009145E7" w:rsidRPr="008455D3" w:rsidSect="0056766D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8455D3"/>
    <w:rsid w:val="000E44DF"/>
    <w:rsid w:val="00274241"/>
    <w:rsid w:val="003E03ED"/>
    <w:rsid w:val="00485E1F"/>
    <w:rsid w:val="0056766D"/>
    <w:rsid w:val="006A0A2D"/>
    <w:rsid w:val="006C6651"/>
    <w:rsid w:val="007C293D"/>
    <w:rsid w:val="00841555"/>
    <w:rsid w:val="008455D3"/>
    <w:rsid w:val="009145E7"/>
    <w:rsid w:val="00A7785C"/>
    <w:rsid w:val="00B32823"/>
    <w:rsid w:val="00C66A4A"/>
    <w:rsid w:val="00C93842"/>
    <w:rsid w:val="00CF77AB"/>
    <w:rsid w:val="00DC7416"/>
    <w:rsid w:val="00E52F43"/>
    <w:rsid w:val="00E7489D"/>
    <w:rsid w:val="00E961EA"/>
    <w:rsid w:val="00ED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5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7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5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7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Диагностика  старшей логопедической </a:t>
            </a:r>
          </a:p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группы №12 "Багульник"</a:t>
            </a:r>
          </a:p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сентябрь 2020 г.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0.11</c:v>
                </c:pt>
                <c:pt idx="1">
                  <c:v>7.0000000000000021E-2</c:v>
                </c:pt>
                <c:pt idx="2">
                  <c:v>7.0000000000000021E-2</c:v>
                </c:pt>
                <c:pt idx="3">
                  <c:v>0.14000000000000001</c:v>
                </c:pt>
                <c:pt idx="4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0.68</c:v>
                </c:pt>
                <c:pt idx="1">
                  <c:v>0.56999999999999995</c:v>
                </c:pt>
                <c:pt idx="2">
                  <c:v>0.75000000000000022</c:v>
                </c:pt>
                <c:pt idx="3">
                  <c:v>0.56999999999999995</c:v>
                </c:pt>
                <c:pt idx="4">
                  <c:v>0.86000000000000021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0.21000000000000005</c:v>
                </c:pt>
                <c:pt idx="1">
                  <c:v>0.3600000000000001</c:v>
                </c:pt>
                <c:pt idx="2">
                  <c:v>3.0000000000000002E-2</c:v>
                </c:pt>
                <c:pt idx="3">
                  <c:v>0.29000000000000009</c:v>
                </c:pt>
                <c:pt idx="4">
                  <c:v>3.0000000000000002E-2</c:v>
                </c:pt>
              </c:numCache>
            </c:numRef>
          </c:val>
        </c:ser>
        <c:dLbls>
          <c:showVal val="1"/>
        </c:dLbls>
        <c:axId val="94533888"/>
        <c:axId val="94564352"/>
      </c:barChart>
      <c:catAx>
        <c:axId val="94533888"/>
        <c:scaling>
          <c:orientation val="minMax"/>
        </c:scaling>
        <c:axPos val="b"/>
        <c:tickLblPos val="nextTo"/>
        <c:crossAx val="94564352"/>
        <c:crosses val="autoZero"/>
        <c:auto val="1"/>
        <c:lblAlgn val="ctr"/>
        <c:lblOffset val="100"/>
      </c:catAx>
      <c:valAx>
        <c:axId val="94564352"/>
        <c:scaling>
          <c:orientation val="minMax"/>
        </c:scaling>
        <c:axPos val="l"/>
        <c:majorGridlines/>
        <c:numFmt formatCode="0%" sourceLinked="1"/>
        <c:tickLblPos val="nextTo"/>
        <c:crossAx val="945338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Диагностика  старшей логопедической  </a:t>
            </a:r>
          </a:p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группы №12 "Багульник"</a:t>
            </a:r>
          </a:p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май 2021 г.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0.7400000000000001</c:v>
                </c:pt>
                <c:pt idx="1">
                  <c:v>0.54</c:v>
                </c:pt>
                <c:pt idx="2">
                  <c:v>0.63000000000000012</c:v>
                </c:pt>
                <c:pt idx="3">
                  <c:v>0.46</c:v>
                </c:pt>
                <c:pt idx="4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0.26</c:v>
                </c:pt>
                <c:pt idx="1">
                  <c:v>0.46</c:v>
                </c:pt>
                <c:pt idx="2">
                  <c:v>0.37000000000000005</c:v>
                </c:pt>
                <c:pt idx="3">
                  <c:v>0.54</c:v>
                </c:pt>
                <c:pt idx="4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axId val="117097600"/>
        <c:axId val="117103232"/>
      </c:barChart>
      <c:catAx>
        <c:axId val="117097600"/>
        <c:scaling>
          <c:orientation val="minMax"/>
        </c:scaling>
        <c:axPos val="b"/>
        <c:tickLblPos val="nextTo"/>
        <c:crossAx val="117103232"/>
        <c:crosses val="autoZero"/>
        <c:auto val="1"/>
        <c:lblAlgn val="ctr"/>
        <c:lblOffset val="100"/>
      </c:catAx>
      <c:valAx>
        <c:axId val="117103232"/>
        <c:scaling>
          <c:orientation val="minMax"/>
        </c:scaling>
        <c:axPos val="l"/>
        <c:majorGridlines/>
        <c:numFmt formatCode="0%" sourceLinked="1"/>
        <c:tickLblPos val="nextTo"/>
        <c:crossAx val="1170976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0.12696</cdr:x>
      <cdr:y>0</cdr:y>
    </cdr:from>
    <cdr:to>
      <cdr:x>0.29363</cdr:x>
      <cdr:y>0.28571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6567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0.12696</cdr:x>
      <cdr:y>0</cdr:y>
    </cdr:from>
    <cdr:to>
      <cdr:x>0.29363</cdr:x>
      <cdr:y>0.28571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6567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2021-10-30T02:13:00Z</dcterms:created>
  <dcterms:modified xsi:type="dcterms:W3CDTF">2021-10-30T02:16:00Z</dcterms:modified>
</cp:coreProperties>
</file>